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9.png" ContentType="image/png"/>
  <Override PartName="/word/media/rId54.png" ContentType="image/png"/>
  <Override PartName="/word/media/rId257.png" ContentType="image/png"/>
  <Override PartName="/word/media/rId50.png" ContentType="image/png"/>
  <Override PartName="/word/media/rId43.png" ContentType="image/png"/>
  <Override PartName="/word/media/rId273.png" ContentType="image/png"/>
  <Override PartName="/word/media/rId261.png" ContentType="image/png"/>
  <Override PartName="/word/media/rId28.png" ContentType="image/png"/>
  <Override PartName="/word/media/rId285.png" ContentType="image/png"/>
  <Override PartName="/word/media/rId62.png" ContentType="image/png"/>
  <Override PartName="/word/media/rId281.png" ContentType="image/png"/>
  <Override PartName="/word/media/rId277.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2024-11-24</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initially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they</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and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(Zhou et al. 2019, 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and Batzli 1978)</w:t>
      </w:r>
      <w:r>
        <w:t xml:space="preserve">.</w:t>
      </w:r>
      <w:r>
        <w:t xml:space="preserve"> </w:t>
      </w:r>
      <w:r>
        <w:rPr>
          <w:b/>
          <w:bCs/>
        </w:rPr>
        <w:t xml:space="preserve">A decrease in phosphorus in the host plant of the dryland insect herbivore Sabinia setosa—velvet mesquite (Prosopis velutina)—results in lower RNA content, slower growth, and reduced abundance in the insect population [</w:t>
      </w:r>
      <w:r>
        <w:rPr>
          <w:b/>
          <w:bCs/>
        </w:rPr>
        <w:t xml:space="preserve">Schade et al. (2003)</w:t>
      </w:r>
      <w:r>
        <w:rPr>
          <w:b/>
          <w:bCs/>
        </w:rPr>
        <w:t xml:space="preserve">. Nonlinear relationships between phosphorus availability and herbivore abundance has been documented, for eample insufficient phosphorus limits RNA production and growth, while excessive phosphorus disrupts nutrient homeostasis and reduces fitness, as demonstrated in laboratory studies of locusts</w:t>
      </w:r>
      <w:r>
        <w:rPr>
          <w:b/>
          <w:bCs/>
        </w:rPr>
        <w:t xml:space="preserve"> </w:t>
      </w:r>
      <w:r>
        <w:rPr>
          <w:b/>
          <w:bCs/>
        </w:rPr>
        <w:t xml:space="preserve">(Cease et al. 2016)</w:t>
      </w:r>
      <w:r>
        <w:rPr>
          <w:b/>
          <w:bCs/>
        </w:rPr>
        <w:t xml:space="preserve">.Phosphorus plays a vital role in RNA synthesis, energy storage and transfer via ATP, and numerous cellular processes, making it essential for animal growth and reproduction. For herbivorous insects, phosphorus-rich plant tissue is particularly important, as it supports their rapid growth and high reproductive rates</w:t>
      </w:r>
      <w:r>
        <w:rPr>
          <w:b/>
          <w:bCs/>
        </w:rPr>
        <w:t xml:space="preserve">(Sterner and Elser 2003, Andersen et al. 2004)</w:t>
      </w:r>
      <w:r>
        <w:rPr>
          <w:b/>
          <w:bCs/>
        </w:rPr>
        <w:t xml:space="preserve">.</w:t>
      </w:r>
      <w:r>
        <w:t xml:space="preserve"> </w:t>
      </w:r>
      <w:r>
        <w:t xml:space="preserve">More broadly, nitrogen and phosphorus 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 [</w:t>
      </w:r>
      <w:r>
        <w:t xml:space="preserve">Floyd (1996)</w:t>
      </w:r>
      <w:r>
        <w:t xml:space="preserve">;</w:t>
      </w:r>
      <w:r>
        <w:t xml:space="preserve"> </w:t>
      </w:r>
      <w:r>
        <w:t xml:space="preserve">Huberty and Denno (2006)</w:t>
      </w:r>
      <w:r>
        <w:t xml:space="preserve">;</w:t>
      </w:r>
      <w:r>
        <w:t xml:space="preserve"> </w:t>
      </w:r>
      <w:r>
        <w:t xml:space="preserve">Marsh and Adams (1995)</w:t>
      </w:r>
      <w:r>
        <w:t xml:space="preserve">; ;</w:t>
      </w:r>
      <w:r>
        <w:t xml:space="preserve"> </w:t>
      </w:r>
      <w:r>
        <w:t xml:space="preserve">Perkins et al. (2004)</w:t>
      </w:r>
      <w:r>
        <w:t xml:space="preserve">] 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Zhu et al. 2019, Welti et al. 2020a, b, Zhu et al. 2020, Ozment et al. 2021)</w:t>
      </w:r>
      <w:r>
        <w:t xml:space="preserve">, or not related</w:t>
      </w:r>
      <w:r>
        <w:t xml:space="preserve"> </w:t>
      </w:r>
      <w:r>
        <w:t xml:space="preserve">(Heidorn and Joern 1987, Jonas and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rPr>
          <w:b/>
          <w:bCs/>
        </w:rPr>
        <w:t xml:space="preserve">The arid interior of Australia is a highly variable environment</w:t>
      </w:r>
      <w:r>
        <w:rPr>
          <w:b/>
          <w:bCs/>
        </w:rPr>
        <w:t xml:space="preserve"> </w:t>
      </w:r>
      <w:r>
        <w:rPr>
          <w:b/>
          <w:bCs/>
        </w:rPr>
        <w:t xml:space="preserve">(Morton et al. 2011)</w:t>
      </w:r>
      <w:r>
        <w:rPr>
          <w:b/>
          <w:bCs/>
        </w:rPr>
        <w:t xml:space="preserve"> </w:t>
      </w:r>
      <w:r>
        <w:rPr>
          <w:b/>
          <w:bCs/>
        </w:rPr>
        <w:t xml:space="preserve">characterized by the Resource-Pulse Paradigm, where episodic resource boosts drive ecological dynamics and population responses</w:t>
      </w:r>
      <w:r>
        <w:rPr>
          <w:b/>
          <w:bCs/>
        </w:rPr>
        <w:t xml:space="preserve"> </w:t>
      </w:r>
      <w:r>
        <w:rPr>
          <w:b/>
          <w:bCs/>
        </w:rPr>
        <w:t xml:space="preserve">(Noy-Meir 1974, Whitford 2002)</w:t>
      </w:r>
      <w:r>
        <w:rPr>
          <w:b/>
          <w:bCs/>
        </w:rPr>
        <w:t xml:space="preserve">. Many Australian animal and plant populations irrupt following periods of favorable climatic conditions.</w:t>
      </w:r>
      <w:r>
        <w:t xml:space="preserve"> </w:t>
      </w:r>
      <w:r>
        <w:t xml:space="preserve">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w:t>
      </w:r>
      <w:r>
        <w:t xml:space="preserve"> </w:t>
      </w:r>
      <w:r>
        <w:rPr>
          <w:b/>
          <w:bCs/>
        </w:rPr>
        <w:t xml:space="preserve">While climatic variability plays a significant role, another critical factor in Australia is its naturally poor soil fertility, with essential nutrients like nitrogen and phosphorus often in short supply in unmodified soils</w:t>
      </w:r>
      <w:r>
        <w:rPr>
          <w:b/>
          <w:bCs/>
        </w:rPr>
        <w:t xml:space="preserve"> </w:t>
      </w:r>
      <w:r>
        <w:rPr>
          <w:b/>
          <w:bCs/>
        </w:rPr>
        <w:t xml:space="preserve">(Orians and Milewski 2007, Morton et al. 2011)</w:t>
      </w:r>
      <w:r>
        <w:rPr>
          <w:b/>
          <w:bCs/>
        </w:rPr>
        <w:t xml:space="preserve">. This nutrient scarcity has shaped the adaptation of many native plants and animals to thrive in low-nutrient environments</w:t>
      </w:r>
      <w:r>
        <w:rPr>
          <w:b/>
          <w:bCs/>
        </w:rPr>
        <w:t xml:space="preserve"> </w:t>
      </w:r>
      <w:r>
        <w:rPr>
          <w:b/>
          <w:bCs/>
        </w:rPr>
        <w:t xml:space="preserve">(Orians and Milewski 2007)</w:t>
      </w:r>
      <w:r>
        <w:rPr>
          <w:b/>
          <w:bCs/>
        </w:rPr>
        <w:t xml:space="preserve">]. Among Australia’s locust species,</w:t>
      </w:r>
      <w:r>
        <w:rPr>
          <w:b/>
          <w:bCs/>
        </w:rPr>
        <w:t xml:space="preserve"> </w:t>
      </w:r>
      <w:r>
        <w:rPr>
          <w:b/>
          <w:bCs/>
          <w:i/>
          <w:iCs/>
        </w:rPr>
        <w:t xml:space="preserve">C. terminifera</w:t>
      </w:r>
      <w:r>
        <w:rPr>
          <w:b/>
          <w:bCs/>
        </w:rPr>
        <w:t xml:space="preserve"> </w:t>
      </w:r>
      <w:r>
        <w:rPr>
          <w:b/>
          <w:bCs/>
        </w:rPr>
        <w:t xml:space="preserve">is the most widespread and economically damaging</w:t>
      </w:r>
      <w:r>
        <w:rPr>
          <w:b/>
          <w:bCs/>
        </w:rPr>
        <w:t xml:space="preserve"> </w:t>
      </w:r>
      <w:r>
        <w:rPr>
          <w:b/>
          <w:bCs/>
        </w:rPr>
        <w:t xml:space="preserve">(Hunter et al. 2001)</w:t>
      </w:r>
      <w:r>
        <w:rPr>
          <w:b/>
          <w:bCs/>
        </w:rPr>
        <w:t xml:space="preserve">. Although numerous studies have linked climatic conditions to</w:t>
      </w:r>
      <w:r>
        <w:rPr>
          <w:b/>
          <w:bCs/>
        </w:rPr>
        <w:t xml:space="preserve"> </w:t>
      </w:r>
      <w:r>
        <w:rPr>
          <w:b/>
          <w:bCs/>
          <w:i/>
          <w:iCs/>
        </w:rPr>
        <w:t xml:space="preserve">C. terminifera</w:t>
      </w:r>
      <w:r>
        <w:rPr>
          <w:b/>
          <w:bCs/>
        </w:rPr>
        <w:t xml:space="preserve"> </w:t>
      </w:r>
      <w:r>
        <w:rPr>
          <w:b/>
          <w:bCs/>
        </w:rPr>
        <w:t xml:space="preserve">population outbreaks</w:t>
      </w:r>
      <w:r>
        <w:rPr>
          <w:b/>
          <w:bCs/>
        </w:rPr>
        <w:t xml:space="preserve"> </w:t>
      </w:r>
      <w:r>
        <w:rPr>
          <w:b/>
          <w:bCs/>
        </w:rPr>
        <w:t xml:space="preserve">(Key 1945, Clark 1974, Farrow 1982, Deveson and Walker 2005)</w:t>
      </w:r>
      <w:r>
        <w:rPr>
          <w:b/>
          <w:bCs/>
        </w:rP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w:t>
      </w:r>
      <w:r>
        <w:t xml:space="preserve"> </w:t>
      </w:r>
      <w:r>
        <w:rPr>
          <w:b/>
          <w:bCs/>
        </w:rPr>
        <w:t xml:space="preserve">four</w:t>
      </w:r>
      <w:r>
        <w:t xml:space="preserve"> </w:t>
      </w:r>
      <w:r>
        <w:t xml:space="preserve">specific questions and subsequent predictions across scales:</w:t>
      </w:r>
    </w:p>
    <w:p>
      <w:pPr>
        <w:numPr>
          <w:ilvl w:val="0"/>
          <w:numId w:val="1001"/>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1"/>
        </w:numPr>
      </w:pPr>
      <w:r>
        <w:rPr>
          <w:b/>
          <w:bCs/>
        </w:rPr>
        <w:t xml:space="preserve">What happens to</w:t>
      </w:r>
      <w:r>
        <w:rPr>
          <w:b/>
          <w:bCs/>
        </w:rPr>
        <w:t xml:space="preserve"> </w:t>
      </w:r>
      <w:r>
        <w:rPr>
          <w:b/>
          <w:bCs/>
          <w:i/>
          <w:iCs/>
        </w:rPr>
        <w:t xml:space="preserve">C. terminifera</w:t>
      </w:r>
      <w:r>
        <w:rPr>
          <w:b/>
          <w:bCs/>
        </w:rPr>
        <w:t xml:space="preserve"> </w:t>
      </w:r>
      <w:r>
        <w:rPr>
          <w:b/>
          <w:bCs/>
        </w:rPr>
        <w:t xml:space="preserve">when constrained to high-nitrogen environments? Since at the individual level, locusts are often confronted with sub-optimal nutritional situations like high-nitrogen environments, locusts will prefer carbohydrate-rich diets to correct protein-carbohydrate imbalances.</w:t>
      </w:r>
    </w:p>
    <w:p>
      <w:pPr>
        <w:numPr>
          <w:ilvl w:val="0"/>
          <w:numId w:val="1001"/>
        </w:numPr>
      </w:pPr>
      <w:r>
        <w:rPr>
          <w:b/>
          <w:bCs/>
        </w:rPr>
        <w:t xml:space="preserve">Can we use soil nutrients as a predictor of</w:t>
      </w:r>
      <w:r>
        <w:rPr>
          <w:b/>
          <w:bCs/>
        </w:rPr>
        <w:t xml:space="preserve"> </w:t>
      </w:r>
      <w:r>
        <w:rPr>
          <w:b/>
          <w:bCs/>
          <w:i/>
          <w:iCs/>
        </w:rPr>
        <w:t xml:space="preserve">C. terminifera</w:t>
      </w:r>
      <w:r>
        <w:rPr>
          <w:b/>
          <w:bCs/>
        </w:rPr>
        <w:t xml:space="preserve"> </w:t>
      </w:r>
      <w:r>
        <w:rPr>
          <w:b/>
          <w:bCs/>
        </w:rPr>
        <w:t xml:space="preserve">nymph outbreaks at the continental scale? We expect outbreaks to by negatively correlation with soil nitrogen at this level.</w:t>
      </w:r>
    </w:p>
    <w:p>
      <w:pPr>
        <w:numPr>
          <w:ilvl w:val="0"/>
          <w:numId w:val="1001"/>
        </w:numPr>
      </w:pPr>
      <w:r>
        <w:rPr>
          <w:b/>
          <w:bCs/>
        </w:rPr>
        <w:t xml:space="preserve">What are the large-scale patterns of C. terminifera outbreaks, accounting for climatic factors? We expect outbreaks to be associated with low-nitrogen areas, as terrestrial herbivores often require significantly more nitrogen than phosphorus [@elser_nutritional_2000]. Given locusts’ capacity to post-ingestively regulate phosphorus within natural ranges [@cease_dietary_2016; @zhang_grasshoppers_2014],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2-and-3"/>
    <w:p>
      <w:pPr>
        <w:pStyle w:val="Heading2"/>
      </w:pPr>
      <w:r>
        <w:t xml:space="preserve">2.1 Field site and animals (Question 2 and 3)</w:t>
      </w:r>
    </w:p>
    <w:p>
      <w:pPr>
        <w:pStyle w:val="FirstParagraph"/>
      </w:pPr>
      <w:r>
        <w:rPr>
          <w:b/>
          <w:bCs/>
        </w:rPr>
        <w:t xml:space="preserve">To answer questions one and two</w:t>
      </w:r>
      <w:r>
        <w:t xml:space="preserve">,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172ae61867dc65a595e30be6a676fc3459e525b"/>
    <w:p>
      <w:pPr>
        <w:pStyle w:val="Heading2"/>
      </w:pPr>
      <w:r>
        <w:t xml:space="preserve">2.2 Nutritional target and performance curve using synthetic diets (Question 2 and 3)</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5f97b7a669cc3fdbac27cf2a61fbc69593aea3e"/>
    <w:p>
      <w:pPr>
        <w:pStyle w:val="Heading2"/>
      </w:pPr>
      <w:r>
        <w:t xml:space="preserve">2.4 Correlating historical nymphal outbreaks with soil nitrogen and phosphorus (Questions 3 and 4)</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w:t>
      </w:r>
      <w:r>
        <w:t xml:space="preserve"> </w:t>
      </w:r>
      <w:r>
        <w:rPr>
          <w:b/>
          <w:bCs/>
        </w:rPr>
        <w:t xml:space="preserve">Since it is often difficult to accurately assess categories 2-3 given the small differences in densities, We counted the number of outbreaks (APLC nymph density code 4), the number of nil records (APLC nymph density code 0), and total number of survey observations.</w:t>
      </w:r>
      <w:r>
        <w:t xml:space="preserve"> </w:t>
      </w:r>
      <w:r>
        <w:t xml:space="preserve">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rPr>
          <w:b/>
          <w:bCs/>
        </w:rPr>
        <w:t xml:space="preserve">All statistics were conducted with either a generalized additive (mixed) model or generlized linear (mixed) model approach when appropriate.</w:t>
      </w:r>
      <w:r>
        <w:t xml:space="preserv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one-and-two"/>
    <w:p>
      <w:pPr>
        <w:pStyle w:val="Heading3"/>
      </w:pPr>
      <w:r>
        <w:t xml:space="preserve">2.5.1 Intake Targets (Question one and two)</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one"/>
    <w:p>
      <w:pPr>
        <w:pStyle w:val="Heading3"/>
      </w:pPr>
      <w:r>
        <w:t xml:space="preserve">2.5.2 Field population (Question one)</w:t>
      </w:r>
    </w:p>
    <w:p>
      <w:pPr>
        <w:pStyle w:val="FirstParagraph"/>
      </w:pPr>
      <w:r>
        <w:t xml:space="preserve">We calculated intake targets as discussed above.</w:t>
      </w:r>
      <w:r>
        <w:t xml:space="preserve"> </w:t>
      </w:r>
      <w:r>
        <w:rPr>
          <w:b/>
          <w:bCs/>
        </w:rPr>
        <w:t xml:space="preserve">To see the impact of confined diet treatments on both specific growth rate and development time</w:t>
      </w:r>
      <w:r>
        <w:t xml:space="preserv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b70264cc00a8b898d731e9bdb22a755d509e636"/>
    <w:p>
      <w:pPr>
        <w:pStyle w:val="Heading3"/>
      </w:pPr>
      <w:r>
        <w:t xml:space="preserve">2.5.4 Historical outbreaks and soil nutrient grid modeling (Questions 3 and 4)</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w:t>
      </w:r>
      <w:r>
        <w:t xml:space="preserve"> </w:t>
      </w:r>
      <w:r>
        <w:rPr>
          <w:b/>
          <w:bCs/>
        </w:rPr>
        <w:t xml:space="preserve">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b/>
            <w:bCs/>
          </w:rPr>
          <w:t xml:space="preserve">Supplementary Figure 3</w:t>
        </w:r>
      </w:hyperlink>
      <w:r>
        <w:rPr>
          <w:b/>
          <w:bCs/>
        </w:rPr>
        <w:t xml:space="preserve"> </w:t>
      </w:r>
      <w:r>
        <w:rPr>
          <w:b/>
          <w:bCs/>
        </w:rPr>
        <w:t xml:space="preserve">A,</w:t>
      </w:r>
      <w:r>
        <w:rPr>
          <w:b/>
          <w:bCs/>
        </w:rPr>
        <w:t xml:space="preserve"> </w:t>
      </w:r>
      <w:hyperlink w:anchor="tbl-field-population-it-model">
        <w:r>
          <w:rPr>
            <w:rStyle w:val="Hyperlink"/>
            <w:b/>
            <w:bCs/>
          </w:rPr>
          <w:t xml:space="preserve">Table 2</w:t>
        </w:r>
      </w:hyperlink>
      <w:r>
        <w:rPr>
          <w:b/>
          <w:bCs/>
        </w:rPr>
        <w:t xml:space="preserve">).</w:t>
      </w:r>
      <w:r>
        <w:t xml:space="preserve"> </w:t>
      </w:r>
      <w:r>
        <w:t xml:space="preserve">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w:t>
            </w:r>
            <w:r>
              <w:t xml:space="preserve"> </w:t>
            </w:r>
            <w:r>
              <w:rPr>
                <w:b/>
                <w:bCs/>
              </w:rPr>
              <w:t xml:space="preserve">Diet pair A and B had the following protein to carbohydrate ratios: 7p:35c &amp; 28p:14c and 7p:35c &amp; 35p:7c respectively.</w:t>
            </w:r>
            <w:r>
              <w:t xml:space="preserve"> </w:t>
            </w:r>
            <w:r>
              <w:t xml:space="preserve">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and-4"/>
    <w:p>
      <w:pPr>
        <w:pStyle w:val="Heading2"/>
      </w:pPr>
      <w:r>
        <w:t xml:space="preserve">3.3 Locust outbreaks (Question 3 and 4)</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w:t>
      </w:r>
      <w:r>
        <w:t xml:space="preserve"> </w:t>
      </w:r>
      <w:r>
        <w:rPr>
          <w:b/>
          <w:bCs/>
        </w:rPr>
        <w:t xml:space="preserve">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w:t>
      </w:r>
      <w:r>
        <w:t xml:space="preserve"> </w:t>
      </w:r>
      <w:r>
        <w:t xml:space="preserve">Investigating multi-scale nutrient interactions, including a wider array of nutrients such as potassium and sodium, could also provide a more comprehensive framework for modeling herbivore responses to environmental heterogeneity.</w:t>
      </w:r>
      <w:r>
        <w:t xml:space="preserve"> </w:t>
      </w:r>
      <w:r>
        <w:rPr>
          <w:b/>
          <w:bCs/>
        </w:rPr>
        <w:t xml:space="preserve">For forecasting pest populations dynamics, describing the nutritional quality of landscapes can inform seasonal scouting surveys.</w:t>
      </w:r>
      <w:r>
        <w:t xml:space="preserve"> </w:t>
      </w:r>
      <w:r>
        <w:t xml:space="preserve">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w:t>
      </w:r>
      <w:r>
        <w:t xml:space="preserve"> </w:t>
      </w:r>
      <w:r>
        <w:rPr>
          <w:b/>
          <w:bCs/>
        </w:rPr>
        <w:t xml:space="preserve">less</w:t>
      </w:r>
      <w:r>
        <w:t xml:space="preserve"> </w:t>
      </w:r>
      <w:r>
        <w:t xml:space="preserve">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 [</w:t>
      </w:r>
      <w:r>
        <w:t xml:space="preserve">*zhu_phenology_2020;</w:t>
      </w:r>
      <w:r>
        <w:t xml:space="preserve"> </w:t>
      </w:r>
      <w:r>
        <w:t xml:space="preserve">Zhu et al. (2023)</w:t>
      </w:r>
      <w:r>
        <w:rPr>
          <w:b/>
          <w:bCs/>
        </w:rPr>
        <w:t xml:space="preserve">]. These examples highlight how phenological or physiological differences shape responses to shared nutritional landscapes. Building on these findings, we hypothesize that related locust species, including</w:t>
      </w:r>
      <w:r>
        <w:rPr>
          <w:b/>
          <w:bCs/>
        </w:rPr>
        <w:t xml:space="preserve"> </w:t>
      </w:r>
      <w:r>
        <w:rPr>
          <w:b/>
          <w:bCs/>
          <w:i/>
          <w:iCs/>
        </w:rPr>
        <w:t xml:space="preserve">Chortoicetes terminifera</w:t>
      </w:r>
      <w:r>
        <w:rPr>
          <w:b/>
          <w:bCs/>
        </w:rP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93" w:name="references"/>
    <w:p>
      <w:pPr>
        <w:pStyle w:val="Heading1"/>
      </w:pPr>
      <w:r>
        <w:t xml:space="preserve">5. REFERENCES</w:t>
      </w:r>
    </w:p>
    <w:bookmarkStart w:id="256"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_gall_global_2019"/>
    <w:p>
      <w:pPr>
        <w:pStyle w:val="Bibliography"/>
      </w:pPr>
      <w:r>
        <w:t xml:space="preserve">Le Gall, M., Overson, R. and Cease, A. 2019.</w:t>
      </w:r>
      <w:r>
        <w:t xml:space="preserve"> </w:t>
      </w:r>
      <w:hyperlink r:id="rId173">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4"/>
    <w:bookmarkStart w:id="176" w:name="ref-lenhart_water_2015"/>
    <w:p>
      <w:pPr>
        <w:pStyle w:val="Bibliography"/>
      </w:pPr>
      <w:r>
        <w:t xml:space="preserve">Lenhart, P. A., Eubanks, M. D. and Behmer, S. T. 2015.</w:t>
      </w:r>
      <w:r>
        <w:t xml:space="preserve"> </w:t>
      </w:r>
      <w:hyperlink r:id="rId175">
        <w:r>
          <w:rPr>
            <w:rStyle w:val="Hyperlink"/>
          </w:rPr>
          <w:t xml:space="preserve">Water stress in grasslands: Dynamic responses of plants and insect herbivores</w:t>
        </w:r>
      </w:hyperlink>
      <w:r>
        <w:t xml:space="preserve">. - Oikos 124: 381–390.</w:t>
      </w:r>
    </w:p>
    <w:bookmarkEnd w:id="176"/>
    <w:bookmarkStart w:id="178" w:name="ref-loaiza2011"/>
    <w:p>
      <w:pPr>
        <w:pStyle w:val="Bibliography"/>
      </w:pPr>
      <w:r>
        <w:t xml:space="preserve">Loaiza, V., Jonas, J. L. and Joern, A. 2011.</w:t>
      </w:r>
      <w:r>
        <w:t xml:space="preserve"> </w:t>
      </w:r>
      <w:hyperlink r:id="rId177">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8"/>
    <w:bookmarkStart w:id="180" w:name="ref-marsh_decline_1995"/>
    <w:p>
      <w:pPr>
        <w:pStyle w:val="Bibliography"/>
      </w:pPr>
      <w:r>
        <w:t xml:space="preserve">Marsh, N. and Adams, M. 1995.</w:t>
      </w:r>
      <w:r>
        <w:t xml:space="preserve"> </w:t>
      </w:r>
      <w:hyperlink r:id="rId179">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0"/>
    <w:bookmarkStart w:id="182" w:name="ref-mattson_herbivory_1980"/>
    <w:p>
      <w:pPr>
        <w:pStyle w:val="Bibliography"/>
      </w:pPr>
      <w:r>
        <w:t xml:space="preserve">Mattson, W. J. 1980.</w:t>
      </w:r>
      <w:r>
        <w:t xml:space="preserve"> </w:t>
      </w:r>
      <w:hyperlink r:id="rId181">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2"/>
    <w:bookmarkStart w:id="184" w:name="ref-millist_nicola_benefitcost_nodate"/>
    <w:p>
      <w:pPr>
        <w:pStyle w:val="Bibliography"/>
      </w:pPr>
      <w:r>
        <w:t xml:space="preserve">Millist, N. and Ali, A. 2011.</w:t>
      </w:r>
      <w:r>
        <w:t xml:space="preserve"> </w:t>
      </w:r>
      <w:hyperlink r:id="rId183">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4"/>
    <w:bookmarkStart w:id="186"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5">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6"/>
    <w:bookmarkStart w:id="188"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87">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88"/>
    <w:bookmarkStart w:id="190" w:name="ref-nie_obligate_2015"/>
    <w:p>
      <w:pPr>
        <w:pStyle w:val="Bibliography"/>
      </w:pPr>
      <w:r>
        <w:t xml:space="preserve">Nie, Y., Zhang, Z., Raubenheimer, D., Elser, J. J., Wei, W. and Wei, F. 2015.</w:t>
      </w:r>
      <w:r>
        <w:t xml:space="preserve"> </w:t>
      </w:r>
      <w:hyperlink r:id="rId189">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0"/>
    <w:bookmarkStart w:id="192" w:name="ref-noy-meir_desert_1974"/>
    <w:p>
      <w:pPr>
        <w:pStyle w:val="Bibliography"/>
      </w:pPr>
      <w:r>
        <w:t xml:space="preserve">Noy-Meir, I. 1974.</w:t>
      </w:r>
      <w:r>
        <w:t xml:space="preserve"> </w:t>
      </w:r>
      <w:hyperlink r:id="rId191">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2"/>
    <w:bookmarkStart w:id="194" w:name="ref-orians_ecology_2007"/>
    <w:p>
      <w:pPr>
        <w:pStyle w:val="Bibliography"/>
      </w:pPr>
      <w:r>
        <w:t xml:space="preserve">Orians, G. H. and Milewski, A. V. 2007.</w:t>
      </w:r>
      <w:r>
        <w:t xml:space="preserve"> </w:t>
      </w:r>
      <w:hyperlink r:id="rId193">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4"/>
    <w:bookmarkStart w:id="196" w:name="ref-ozment_tracking_2021"/>
    <w:p>
      <w:pPr>
        <w:pStyle w:val="Bibliography"/>
      </w:pPr>
      <w:r>
        <w:t xml:space="preserve">Ozment, K. A., Welti, E. A. R., Shaffer, M. and Kaspari, M. 2021.</w:t>
      </w:r>
      <w:r>
        <w:t xml:space="preserve"> </w:t>
      </w:r>
      <w:hyperlink r:id="rId195">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6"/>
    <w:bookmarkStart w:id="198" w:name="ref-parlin_cost_2023"/>
    <w:p>
      <w:pPr>
        <w:pStyle w:val="Bibliography"/>
      </w:pPr>
      <w:r>
        <w:t xml:space="preserve">Parlin, A. F., Kendzel, M. J., Taylor, O. R., Culley, T. M., Matter, S. F. and Guerra, P. A. 2023.</w:t>
      </w:r>
      <w:r>
        <w:t xml:space="preserve"> </w:t>
      </w:r>
      <w:hyperlink r:id="rId197">
        <w:r>
          <w:rPr>
            <w:rStyle w:val="Hyperlink"/>
          </w:rPr>
          <w:t xml:space="preserve">The cost of movement: Assessing energy expenditure in a long-distant ectothermic migrant under climate change</w:t>
        </w:r>
      </w:hyperlink>
      <w:r>
        <w:t xml:space="preserve">. - Journal of Experimental Biology 226: jeb245296.</w:t>
      </w:r>
    </w:p>
    <w:bookmarkEnd w:id="198"/>
    <w:bookmarkStart w:id="200" w:name="ref-perkins_dietary_2004"/>
    <w:p>
      <w:pPr>
        <w:pStyle w:val="Bibliography"/>
      </w:pPr>
      <w:r>
        <w:t xml:space="preserve">Perkins, M. C., Woods, H. A., Harrison, J. F. and Elser, J. J. 2004.</w:t>
      </w:r>
      <w:r>
        <w:t xml:space="preserve"> </w:t>
      </w:r>
      <w:hyperlink r:id="rId199">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0"/>
    <w:bookmarkStart w:id="202" w:name="ref-randolph_nutritional_1995"/>
    <w:p>
      <w:pPr>
        <w:pStyle w:val="Bibliography"/>
      </w:pPr>
      <w:r>
        <w:t xml:space="preserve">Randolph, J. C., Cameron, G. N. and McClure, P. A. 1995.</w:t>
      </w:r>
      <w:r>
        <w:t xml:space="preserve"> </w:t>
      </w:r>
      <w:hyperlink r:id="rId201">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2"/>
    <w:bookmarkStart w:id="204" w:name="ref-raubenheimer_integrative_1997"/>
    <w:p>
      <w:pPr>
        <w:pStyle w:val="Bibliography"/>
      </w:pPr>
      <w:r>
        <w:t xml:space="preserve">Raubenheimer, D. and Simpson, S. J. 1997.</w:t>
      </w:r>
      <w:r>
        <w:t xml:space="preserve"> </w:t>
      </w:r>
      <w:hyperlink r:id="rId203">
        <w:r>
          <w:rPr>
            <w:rStyle w:val="Hyperlink"/>
          </w:rPr>
          <w:t xml:space="preserve">Integrative models of nutrient balancing: Application to insects and vertebrates</w:t>
        </w:r>
      </w:hyperlink>
      <w:r>
        <w:t xml:space="preserve">. - Nutrition Research Reviews 10: 151–179.</w:t>
      </w:r>
    </w:p>
    <w:bookmarkEnd w:id="204"/>
    <w:bookmarkStart w:id="206" w:name="ref-raubenheimer_nutritional_2013"/>
    <w:p>
      <w:pPr>
        <w:pStyle w:val="Bibliography"/>
      </w:pPr>
      <w:r>
        <w:t xml:space="preserve">Raubenheimer, D. and Rothman, J. M. 2013.</w:t>
      </w:r>
      <w:r>
        <w:t xml:space="preserve"> </w:t>
      </w:r>
      <w:hyperlink r:id="rId205">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06"/>
    <w:bookmarkStart w:id="208" w:name="ref-schade_stoichiometric_2003"/>
    <w:p>
      <w:pPr>
        <w:pStyle w:val="Bibliography"/>
      </w:pPr>
      <w:r>
        <w:t xml:space="preserve">Schade, J. D., Kyle, M., Hobbie, S. E., Fagan, W. F. and Elser, J. J. 2003.</w:t>
      </w:r>
      <w:r>
        <w:t xml:space="preserve"> </w:t>
      </w:r>
      <w:hyperlink r:id="rId207">
        <w:r>
          <w:rPr>
            <w:rStyle w:val="Hyperlink"/>
          </w:rPr>
          <w:t xml:space="preserve">Stoichiometric tracking of soil nutrients by a desert insect herbivore</w:t>
        </w:r>
      </w:hyperlink>
      <w:r>
        <w:t xml:space="preserve">. - Ecology Letters 6: 96–101.</w:t>
      </w:r>
    </w:p>
    <w:bookmarkEnd w:id="208"/>
    <w:bookmarkStart w:id="210" w:name="ref-simpson_compensation_1985"/>
    <w:p>
      <w:pPr>
        <w:pStyle w:val="Bibliography"/>
      </w:pPr>
      <w:r>
        <w:t xml:space="preserve">Simpson, S. J. and Abisgold, J. D. 1985.</w:t>
      </w:r>
      <w:r>
        <w:t xml:space="preserve"> </w:t>
      </w:r>
      <w:hyperlink r:id="rId209">
        <w:r>
          <w:rPr>
            <w:rStyle w:val="Hyperlink"/>
          </w:rPr>
          <w:t xml:space="preserve">Compensation by locusts for changes in dietary nutrients: Behavioural mechanisms</w:t>
        </w:r>
      </w:hyperlink>
      <w:r>
        <w:t xml:space="preserve">. - Physiological Entomology 10: 443–452.</w:t>
      </w:r>
    </w:p>
    <w:bookmarkEnd w:id="210"/>
    <w:bookmarkStart w:id="211" w:name="ref-simpson2012"/>
    <w:p>
      <w:pPr>
        <w:pStyle w:val="Bibliography"/>
      </w:pPr>
      <w:r>
        <w:t xml:space="preserve">Simpson, S. J. and Raubenheimer, D. 2012a. The nature of nutrition: A unifying framework from animal adaptation to human obesity. - Princeton university press.</w:t>
      </w:r>
    </w:p>
    <w:bookmarkEnd w:id="211"/>
    <w:bookmarkStart w:id="213" w:name="ref-simpson_nature_2012"/>
    <w:p>
      <w:pPr>
        <w:pStyle w:val="Bibliography"/>
      </w:pPr>
      <w:r>
        <w:t xml:space="preserve">Simpson, S. J. and Raubenheimer, D. 2012b.</w:t>
      </w:r>
      <w:r>
        <w:t xml:space="preserve"> </w:t>
      </w:r>
      <w:hyperlink r:id="rId212">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3"/>
    <w:bookmarkStart w:id="215" w:name="ref-sterner2003"/>
    <w:p>
      <w:pPr>
        <w:pStyle w:val="Bibliography"/>
      </w:pPr>
      <w:r>
        <w:t xml:space="preserve">Sterner, R. W. and Elser, J. J. 2003.</w:t>
      </w:r>
      <w:r>
        <w:t xml:space="preserve"> </w:t>
      </w:r>
      <w:hyperlink r:id="rId214">
        <w:r>
          <w:rPr>
            <w:rStyle w:val="Hyperlink"/>
          </w:rPr>
          <w:t xml:space="preserve">Ecological stoichiometry</w:t>
        </w:r>
      </w:hyperlink>
      <w:r>
        <w:t xml:space="preserve">. - Princeton University Press.</w:t>
      </w:r>
    </w:p>
    <w:bookmarkEnd w:id="215"/>
    <w:bookmarkStart w:id="217" w:name="ref-talal_plant_2020"/>
    <w:p>
      <w:pPr>
        <w:pStyle w:val="Bibliography"/>
      </w:pPr>
      <w:r>
        <w:t xml:space="preserve">Talal, S., Cease, A. J., Youngblood, J. P., Farington, R., Trumper, E. V., Medina, H. E., Rojas, J. E., Fernando Copa, A. and Harrison, J. F. 2020.</w:t>
      </w:r>
      <w:r>
        <w:t xml:space="preserve"> </w:t>
      </w:r>
      <w:hyperlink r:id="rId216">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17"/>
    <w:bookmarkStart w:id="219" w:name="ref-talal_high_2021"/>
    <w:p>
      <w:pPr>
        <w:pStyle w:val="Bibliography"/>
      </w:pPr>
      <w:r>
        <w:t xml:space="preserve">Talal, S., Cease, A., Farington, R., Medina, H. E., Rojas, J. and Harrison, J. 2021.</w:t>
      </w:r>
      <w:r>
        <w:t xml:space="preserve"> </w:t>
      </w:r>
      <w:hyperlink r:id="rId218">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19"/>
    <w:bookmarkStart w:id="221" w:name="ref-talal_body_2023"/>
    <w:p>
      <w:pPr>
        <w:pStyle w:val="Bibliography"/>
      </w:pPr>
      <w:r>
        <w:t xml:space="preserve">Talal, S., Harrison, J. F., Farington, R., Youngblood, J. P., Medina, H. E., Overson, R. and Cease, A. J. 2023.</w:t>
      </w:r>
      <w:r>
        <w:t xml:space="preserve"> </w:t>
      </w:r>
      <w:hyperlink r:id="rId220">
        <w:r>
          <w:rPr>
            <w:rStyle w:val="Hyperlink"/>
          </w:rPr>
          <w:t xml:space="preserve">Body mass and growth rates predict protein intake across animals</w:t>
        </w:r>
      </w:hyperlink>
      <w:r>
        <w:t xml:space="preserve">.</w:t>
      </w:r>
    </w:p>
    <w:bookmarkEnd w:id="221"/>
    <w:bookmarkStart w:id="223" w:name="ref-tyrrell_relative_1999"/>
    <w:p>
      <w:pPr>
        <w:pStyle w:val="Bibliography"/>
      </w:pPr>
      <w:r>
        <w:t xml:space="preserve">Tyrrell, T. 1999.</w:t>
      </w:r>
      <w:r>
        <w:t xml:space="preserve"> </w:t>
      </w:r>
      <w:hyperlink r:id="rId222">
        <w:r>
          <w:rPr>
            <w:rStyle w:val="Hyperlink"/>
          </w:rPr>
          <w:t xml:space="preserve">The relative influences of nitrogen and phosphorus on oceanic primary production</w:t>
        </w:r>
      </w:hyperlink>
      <w:r>
        <w:t xml:space="preserve">. - Nature 400: 525–531.</w:t>
      </w:r>
    </w:p>
    <w:bookmarkEnd w:id="223"/>
    <w:bookmarkStart w:id="224"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24"/>
    <w:bookmarkStart w:id="226" w:name="ref-veran_modeling_2015"/>
    <w:p>
      <w:pPr>
        <w:pStyle w:val="Bibliography"/>
      </w:pPr>
      <w:r>
        <w:t xml:space="preserve">Veran, S., Simpson, S. J., Sword, G. A., Deveson, E., Piry, S., Hines, J. E. and Berthier, K. 2015.</w:t>
      </w:r>
      <w:r>
        <w:t xml:space="preserve"> </w:t>
      </w:r>
      <w:hyperlink r:id="rId225">
        <w:r>
          <w:rPr>
            <w:rStyle w:val="Hyperlink"/>
          </w:rPr>
          <w:t xml:space="preserve">Modeling spatiotemporal dynamics of outbreaking species: Influence of environment and migration in a locust</w:t>
        </w:r>
      </w:hyperlink>
      <w:r>
        <w:t xml:space="preserve">. - Ecology 96: 737–748.</w:t>
      </w:r>
    </w:p>
    <w:bookmarkEnd w:id="226"/>
    <w:bookmarkStart w:id="228" w:name="ref-vitousek_terrestrial_2010"/>
    <w:p>
      <w:pPr>
        <w:pStyle w:val="Bibliography"/>
      </w:pPr>
      <w:r>
        <w:t xml:space="preserve">Vitousek, P. M., Porder, S., Houlton, B. Z. and Chadwick, O. A. 2010.</w:t>
      </w:r>
      <w:r>
        <w:t xml:space="preserve"> </w:t>
      </w:r>
      <w:hyperlink r:id="rId227">
        <w:r>
          <w:rPr>
            <w:rStyle w:val="Hyperlink"/>
          </w:rPr>
          <w:t xml:space="preserve">Terrestrial phosphorus limitation: Mechanisms, implications, and nitrogen–phosphorus interactions</w:t>
        </w:r>
      </w:hyperlink>
      <w:r>
        <w:t xml:space="preserve">. - Ecological Applications 20: 5–15.</w:t>
      </w:r>
    </w:p>
    <w:bookmarkEnd w:id="228"/>
    <w:bookmarkStart w:id="230" w:name="ref-welti_nutrient_2020"/>
    <w:p>
      <w:pPr>
        <w:pStyle w:val="Bibliography"/>
      </w:pPr>
      <w:r>
        <w:t xml:space="preserve">Welti, E. A. R., Roeder, K. A., De Beurs, K. M., Joern, A. and Kaspari, M. 2020a.</w:t>
      </w:r>
      <w:r>
        <w:t xml:space="preserve"> </w:t>
      </w:r>
      <w:hyperlink r:id="rId229">
        <w:r>
          <w:rPr>
            <w:rStyle w:val="Hyperlink"/>
          </w:rPr>
          <w:t xml:space="preserve">Nutrient dilution and climate cycles underlie declines in a dominant insect herbivore</w:t>
        </w:r>
      </w:hyperlink>
      <w:r>
        <w:t xml:space="preserve">. - Proceedings of the National Academy of Sciences 117: 7271–7275.</w:t>
      </w:r>
    </w:p>
    <w:bookmarkEnd w:id="230"/>
    <w:bookmarkStart w:id="232" w:name="ref-welti_bottomup_2020"/>
    <w:p>
      <w:pPr>
        <w:pStyle w:val="Bibliography"/>
      </w:pPr>
      <w:r>
        <w:t xml:space="preserve">Welti, E. A. R., Prather, R. M., Sanders, N. J., De Beurs, K. M. and Kaspari, M. 2020b.</w:t>
      </w:r>
      <w:r>
        <w:t xml:space="preserve"> </w:t>
      </w:r>
      <w:hyperlink r:id="rId231">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32"/>
    <w:bookmarkStart w:id="234" w:name="ref-white_importance_1978"/>
    <w:p>
      <w:pPr>
        <w:pStyle w:val="Bibliography"/>
      </w:pPr>
      <w:r>
        <w:t xml:space="preserve">White, T. C. R. 1978.</w:t>
      </w:r>
      <w:r>
        <w:t xml:space="preserve"> </w:t>
      </w:r>
      <w:hyperlink r:id="rId233">
        <w:r>
          <w:rPr>
            <w:rStyle w:val="Hyperlink"/>
          </w:rPr>
          <w:t xml:space="preserve">The importance of a relative shortage of food in animal ecology</w:t>
        </w:r>
      </w:hyperlink>
      <w:r>
        <w:t xml:space="preserve">. - Oecologia 33: 71–86.</w:t>
      </w:r>
    </w:p>
    <w:bookmarkEnd w:id="234"/>
    <w:bookmarkStart w:id="236" w:name="ref-white_inadequate_1993"/>
    <w:p>
      <w:pPr>
        <w:pStyle w:val="Bibliography"/>
      </w:pPr>
      <w:r>
        <w:t xml:space="preserve">White, T. C. R. 1993.</w:t>
      </w:r>
      <w:r>
        <w:t xml:space="preserve"> </w:t>
      </w:r>
      <w:hyperlink r:id="rId235">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36"/>
    <w:bookmarkStart w:id="238" w:name="ref-white_role_2008"/>
    <w:p>
      <w:pPr>
        <w:pStyle w:val="Bibliography"/>
      </w:pPr>
      <w:r>
        <w:t xml:space="preserve">White, T. C. R. 2008.</w:t>
      </w:r>
      <w:r>
        <w:t xml:space="preserve"> </w:t>
      </w:r>
      <w:hyperlink r:id="rId237">
        <w:r>
          <w:rPr>
            <w:rStyle w:val="Hyperlink"/>
          </w:rPr>
          <w:t xml:space="preserve">The role of food, weather and climate in limiting the abundance of animals</w:t>
        </w:r>
      </w:hyperlink>
      <w:r>
        <w:t xml:space="preserve">. - Biological Reviews 83: 227–248.</w:t>
      </w:r>
    </w:p>
    <w:bookmarkEnd w:id="238"/>
    <w:bookmarkStart w:id="239" w:name="ref-whitford_ecology_2002"/>
    <w:p>
      <w:pPr>
        <w:pStyle w:val="Bibliography"/>
      </w:pPr>
      <w:r>
        <w:t xml:space="preserve">Whitford, W. G. 2002. Ecology of desert systems. - Academic Press.</w:t>
      </w:r>
    </w:p>
    <w:bookmarkEnd w:id="239"/>
    <w:bookmarkStart w:id="241" w:name="ref-wilson_dietary_2019"/>
    <w:p>
      <w:pPr>
        <w:pStyle w:val="Bibliography"/>
      </w:pPr>
      <w:r>
        <w:t xml:space="preserve">Wilson, J. K., Ruiz, L. and Davidowitz, G. 2019a.</w:t>
      </w:r>
      <w:r>
        <w:t xml:space="preserve"> </w:t>
      </w:r>
      <w:hyperlink r:id="rId240">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1"/>
    <w:bookmarkStart w:id="243" w:name="ref-wilson_nutritional_2019"/>
    <w:p>
      <w:pPr>
        <w:pStyle w:val="Bibliography"/>
      </w:pPr>
      <w:r>
        <w:t xml:space="preserve">Wilson, J. K., Ruiz, L., Duarte, J. and Davidowitz, G. 2019b.</w:t>
      </w:r>
      <w:r>
        <w:t xml:space="preserve"> </w:t>
      </w:r>
      <w:hyperlink r:id="rId242">
        <w:r>
          <w:rPr>
            <w:rStyle w:val="Hyperlink"/>
          </w:rPr>
          <w:t xml:space="preserve">The nutritional landscape of host plants for a specialist insect herbivore</w:t>
        </w:r>
      </w:hyperlink>
      <w:r>
        <w:t xml:space="preserve">. - Ecology and Evolution 9: 13104–13113.</w:t>
      </w:r>
    </w:p>
    <w:bookmarkEnd w:id="243"/>
    <w:bookmarkStart w:id="245" w:name="ref-word_soil-targeted_2019"/>
    <w:p>
      <w:pPr>
        <w:pStyle w:val="Bibliography"/>
      </w:pPr>
      <w:r>
        <w:t xml:space="preserve">Word, M. L., Hall, S. J., Robinson, B. E., Manneh, B., Beye, A. and Cease, A. J. 2019.</w:t>
      </w:r>
      <w:r>
        <w:t xml:space="preserve"> </w:t>
      </w:r>
      <w:hyperlink r:id="rId244">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45"/>
    <w:bookmarkStart w:id="247" w:name="ref-zhang_grasshoppers_2014"/>
    <w:p>
      <w:pPr>
        <w:pStyle w:val="Bibliography"/>
      </w:pPr>
      <w:r>
        <w:t xml:space="preserve">Zhang, Z., Elser, J. J., Cease, A. J., Zhang, X., Yu, Q., Han, X. and Zhang, G. 2014.</w:t>
      </w:r>
      <w:r>
        <w:t xml:space="preserve"> </w:t>
      </w:r>
      <w:hyperlink r:id="rId24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47"/>
    <w:bookmarkStart w:id="249" w:name="ref-zhou_increased_2019"/>
    <w:p>
      <w:pPr>
        <w:pStyle w:val="Bibliography"/>
      </w:pPr>
      <w:r>
        <w:t xml:space="preserve">Zhou, X., Liu, X., Zhang, P., Guo, Z. and Du, G. 2019.</w:t>
      </w:r>
      <w:r>
        <w:t xml:space="preserve"> </w:t>
      </w:r>
      <w:hyperlink r:id="rId24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49"/>
    <w:bookmarkStart w:id="251" w:name="ref-zhu_negative_2019"/>
    <w:p>
      <w:pPr>
        <w:pStyle w:val="Bibliography"/>
      </w:pPr>
      <w:r>
        <w:t xml:space="preserve">Zhu, Y., Zhong, Z., Pagès, J. F., Finke, D., Wang, D., Ma, Q., Hassan, N., Zhu, H. and Wang, L. 2019.</w:t>
      </w:r>
      <w:r>
        <w:t xml:space="preserve"> </w:t>
      </w:r>
      <w:hyperlink r:id="rId25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51"/>
    <w:bookmarkStart w:id="253" w:name="ref-zhu_effects_2020"/>
    <w:p>
      <w:pPr>
        <w:pStyle w:val="Bibliography"/>
      </w:pPr>
      <w:r>
        <w:t xml:space="preserve">Zhu, H., Nkurunziza, V., Wang, J., Guo, Q., Ruan, H. and Wang, D. 2020.</w:t>
      </w:r>
      <w:r>
        <w:t xml:space="preserve"> </w:t>
      </w:r>
      <w:hyperlink r:id="rId252">
        <w:r>
          <w:rPr>
            <w:rStyle w:val="Hyperlink"/>
          </w:rPr>
          <w:t xml:space="preserve">Effects of large herbivore grazing on grasshopper behaviour and abundance in a meadow steppe</w:t>
        </w:r>
      </w:hyperlink>
      <w:r>
        <w:t xml:space="preserve">. - Ecological Entomology 45: 1357–1366.</w:t>
      </w:r>
    </w:p>
    <w:bookmarkEnd w:id="253"/>
    <w:bookmarkStart w:id="255" w:name="ref-zhu_constrasting_2023"/>
    <w:p>
      <w:pPr>
        <w:pStyle w:val="Bibliography"/>
      </w:pPr>
      <w:r>
        <w:t xml:space="preserve">Zhu, Y., Ma, Q., Zhong, Z., Jiang, M., Bakker, E. S., Harvey, J. A., Veen, G. F. (Ciska), Chen, C. and Wang, D. 2023.</w:t>
      </w:r>
      <w:r>
        <w:t xml:space="preserve"> </w:t>
      </w:r>
      <w:hyperlink r:id="rId254">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55"/>
    <w:bookmarkEnd w:id="256"/>
    <w:tbl>
      <w:tblPr>
        <w:tblStyle w:val="Table"/>
        <w:tblW w:type="pct" w:w="5000"/>
        <w:tblLayout w:type="fixed"/>
        <w:tblLook w:firstRow="0" w:lastRow="0" w:firstColumn="0" w:lastColumn="0" w:noHBand="0" w:noVBand="0" w:val="0000"/>
      </w:tblPr>
      <w:tblGrid>
        <w:gridCol w:w="7920"/>
      </w:tblGrid>
      <w:tr>
        <w:tc>
          <w:tcPr/>
          <w:bookmarkStart w:id="260" w:name="X9625992a90a6042132e1270593c3c56aa030b33"/>
          <w:p>
            <w:pPr>
              <w:pStyle w:val="Compact"/>
              <w:jc w:val="center"/>
            </w:pPr>
            <w:r>
              <w:drawing>
                <wp:inline>
                  <wp:extent cx="4267200" cy="6400800"/>
                  <wp:effectExtent b="0" l="0" r="0" t="0"/>
                  <wp:docPr descr="" title="" id="258" name="Picture"/>
                  <a:graphic>
                    <a:graphicData uri="http://schemas.openxmlformats.org/drawingml/2006/picture">
                      <pic:pic>
                        <pic:nvPicPr>
                          <pic:cNvPr descr="output/publication_figures/field_cage_plant_and_soil_nutrient_correlations.png" id="259" name="Picture"/>
                          <pic:cNvPicPr>
                            <a:picLocks noChangeArrowheads="1" noChangeAspect="1"/>
                          </pic:cNvPicPr>
                        </pic:nvPicPr>
                        <pic:blipFill>
                          <a:blip r:embed="rId25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4" w:name="suppfig-grid-example"/>
          <w:p>
            <w:pPr>
              <w:pStyle w:val="Compact"/>
              <w:jc w:val="center"/>
            </w:pPr>
            <w:r>
              <w:drawing>
                <wp:inline>
                  <wp:extent cx="5334000" cy="3098760"/>
                  <wp:effectExtent b="0" l="0" r="0" t="0"/>
                  <wp:docPr descr="" title="" id="262" name="Picture"/>
                  <a:graphic>
                    <a:graphicData uri="http://schemas.openxmlformats.org/drawingml/2006/picture">
                      <pic:pic>
                        <pic:nvPicPr>
                          <pic:cNvPr descr="output/publication_figures/spatial_modeling_grid_example_map.png" id="263" name="Picture"/>
                          <pic:cNvPicPr>
                            <a:picLocks noChangeArrowheads="1" noChangeAspect="1"/>
                          </pic:cNvPicPr>
                        </pic:nvPicPr>
                        <pic:blipFill>
                          <a:blip r:embed="rId261"/>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8" w:name="suppfig-field-pop-nutrients"/>
          <w:p>
            <w:pPr>
              <w:pStyle w:val="Compact"/>
              <w:jc w:val="center"/>
            </w:pPr>
            <w:r>
              <w:drawing>
                <wp:inline>
                  <wp:extent cx="5334000" cy="5334000"/>
                  <wp:effectExtent b="0" l="0" r="0" t="0"/>
                  <wp:docPr descr="" title="" id="266" name="Picture"/>
                  <a:graphic>
                    <a:graphicData uri="http://schemas.openxmlformats.org/drawingml/2006/picture">
                      <pic:pic>
                        <pic:nvPicPr>
                          <pic:cNvPr descr="output/publication_figures/supplement_figure_3.png" id="267" name="Picture"/>
                          <pic:cNvPicPr>
                            <a:picLocks noChangeArrowheads="1" noChangeAspect="1"/>
                          </pic:cNvPicPr>
                        </pic:nvPicPr>
                        <pic:blipFill>
                          <a:blip r:embed="rId2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2" w:name="suppfig-field-cage-rebalancing-facet"/>
          <w:p>
            <w:pPr>
              <w:pStyle w:val="Compact"/>
              <w:jc w:val="center"/>
            </w:pPr>
            <w:r>
              <w:drawing>
                <wp:inline>
                  <wp:extent cx="5334000" cy="3555999"/>
                  <wp:effectExtent b="0" l="0" r="0" t="0"/>
                  <wp:docPr descr="" title="" id="270" name="Picture"/>
                  <a:graphic>
                    <a:graphicData uri="http://schemas.openxmlformats.org/drawingml/2006/picture">
                      <pic:pic>
                        <pic:nvPicPr>
                          <pic:cNvPr descr="output/publication_figures/field_cage_locust_intake_rebalance_day_facet_plot.png" id="271" name="Picture"/>
                          <pic:cNvPicPr>
                            <a:picLocks noChangeArrowheads="1" noChangeAspect="1"/>
                          </pic:cNvPicPr>
                        </pic:nvPicPr>
                        <pic:blipFill>
                          <a:blip r:embed="rId269"/>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spatial-modeling-env-corr"/>
          <w:p>
            <w:pPr>
              <w:pStyle w:val="Compact"/>
              <w:jc w:val="center"/>
            </w:pPr>
            <w:r>
              <w:drawing>
                <wp:inline>
                  <wp:extent cx="4267200" cy="6400800"/>
                  <wp:effectExtent b="0" l="0" r="0" t="0"/>
                  <wp:docPr descr="" title="" id="274" name="Picture"/>
                  <a:graphic>
                    <a:graphicData uri="http://schemas.openxmlformats.org/drawingml/2006/picture">
                      <pic:pic>
                        <pic:nvPicPr>
                          <pic:cNvPr descr="output/publication_figures/spatial_modeling_environment_correlation_figure.png" id="275" name="Picture"/>
                          <pic:cNvPicPr>
                            <a:picLocks noChangeArrowheads="1" noChangeAspect="1"/>
                          </pic:cNvPicPr>
                        </pic:nvPicPr>
                        <pic:blipFill>
                          <a:blip r:embed="rId27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X5a0228d52521d7fdab8c7d0c33a120219a95dc0"/>
          <w:p>
            <w:pPr>
              <w:pStyle w:val="Compact"/>
              <w:jc w:val="center"/>
            </w:pPr>
            <w:r>
              <w:drawing>
                <wp:inline>
                  <wp:extent cx="4267200" cy="6400800"/>
                  <wp:effectExtent b="0" l="0" r="0" t="0"/>
                  <wp:docPr descr="" title="" id="278" name="Picture"/>
                  <a:graphic>
                    <a:graphicData uri="http://schemas.openxmlformats.org/drawingml/2006/picture">
                      <pic:pic>
                        <pic:nvPicPr>
                          <pic:cNvPr descr="output/publication_figures/spatial_modeling_outbreak_all_model_variables.png" id="279" name="Picture"/>
                          <pic:cNvPicPr>
                            <a:picLocks noChangeArrowheads="1" noChangeAspect="1"/>
                          </pic:cNvPicPr>
                        </pic:nvPicPr>
                        <pic:blipFill>
                          <a:blip r:embed="rId27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spatial-modeling-nil-all-vars"/>
          <w:p>
            <w:pPr>
              <w:pStyle w:val="Compact"/>
              <w:jc w:val="center"/>
            </w:pPr>
            <w:r>
              <w:drawing>
                <wp:inline>
                  <wp:extent cx="4267200" cy="6400800"/>
                  <wp:effectExtent b="0" l="0" r="0" t="0"/>
                  <wp:docPr descr="" title="" id="282" name="Picture"/>
                  <a:graphic>
                    <a:graphicData uri="http://schemas.openxmlformats.org/drawingml/2006/picture">
                      <pic:pic>
                        <pic:nvPicPr>
                          <pic:cNvPr descr="output/publication_figures/spatial_modeling_nil_all_model_variables.png" id="283" name="Picture"/>
                          <pic:cNvPicPr>
                            <a:picLocks noChangeArrowheads="1" noChangeAspect="1"/>
                          </pic:cNvPicPr>
                        </pic:nvPicPr>
                        <pic:blipFill>
                          <a:blip r:embed="rId28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Xd6c67fdba5d1811b777076e9a212d54cfecde0e"/>
          <w:p>
            <w:pPr>
              <w:pStyle w:val="Compact"/>
              <w:jc w:val="center"/>
            </w:pPr>
            <w:r>
              <w:drawing>
                <wp:inline>
                  <wp:extent cx="4587290" cy="4587290"/>
                  <wp:effectExtent b="0" l="0" r="0" t="0"/>
                  <wp:docPr descr="" title="" id="286" name="Picture"/>
                  <a:graphic>
                    <a:graphicData uri="http://schemas.openxmlformats.org/drawingml/2006/picture">
                      <pic:pic>
                        <pic:nvPicPr>
                          <pic:cNvPr descr="output/publication_figures/spatial_modeling_locust_outbreak_with_map.png" id="287" name="Picture"/>
                          <pic:cNvPicPr>
                            <a:picLocks noChangeArrowheads="1" noChangeAspect="1"/>
                          </pic:cNvPicPr>
                        </pic:nvPicPr>
                        <pic:blipFill>
                          <a:blip r:embed="rId285"/>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8"/>
        </w:tc>
      </w:tr>
    </w:tbl>
    <w:p/>
    <w:tbl>
      <w:tblPr>
        <w:tblStyle w:val="Table"/>
        <w:tblW w:type="pct" w:w="5000"/>
        <w:tblLayout w:type="fixed"/>
        <w:tblLook w:firstRow="0" w:lastRow="0" w:firstColumn="0" w:lastColumn="0" w:noHBand="0" w:noVBand="0" w:val="0000"/>
      </w:tblPr>
      <w:tblGrid>
        <w:gridCol w:w="7920"/>
      </w:tblGrid>
      <w:tr>
        <w:tc>
          <w:tcPr/>
          <w:bookmarkStart w:id="289"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9"/>
        </w:tc>
      </w:tr>
    </w:tbl>
    <w:p/>
    <w:tbl>
      <w:tblPr>
        <w:tblStyle w:val="Table"/>
        <w:tblW w:type="pct" w:w="5000"/>
        <w:tblLayout w:type="fixed"/>
        <w:tblLook w:firstRow="0" w:lastRow="0" w:firstColumn="0" w:lastColumn="0" w:noHBand="0" w:noVBand="0" w:val="0000"/>
      </w:tblPr>
      <w:tblGrid>
        <w:gridCol w:w="7920"/>
      </w:tblGrid>
      <w:tr>
        <w:tc>
          <w:tcPr/>
          <w:bookmarkStart w:id="290"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9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92"/>
        </w:tc>
      </w:tr>
    </w:tbl>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9" Target="media/rId269.png" /><Relationship Type="http://schemas.openxmlformats.org/officeDocument/2006/relationships/image" Id="rId54" Target="media/rId54.png" /><Relationship Type="http://schemas.openxmlformats.org/officeDocument/2006/relationships/image" Id="rId257" Target="media/rId257.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73" Target="media/rId273.png" /><Relationship Type="http://schemas.openxmlformats.org/officeDocument/2006/relationships/image" Id="rId261" Target="media/rId261.png" /><Relationship Type="http://schemas.openxmlformats.org/officeDocument/2006/relationships/image" Id="rId28" Target="media/rId28.png" /><Relationship Type="http://schemas.openxmlformats.org/officeDocument/2006/relationships/image" Id="rId285" Target="media/rId285.png" /><Relationship Type="http://schemas.openxmlformats.org/officeDocument/2006/relationships/image" Id="rId62" Target="media/rId62.png" /><Relationship Type="http://schemas.openxmlformats.org/officeDocument/2006/relationships/image" Id="rId281" Target="media/rId281.png" /><Relationship Type="http://schemas.openxmlformats.org/officeDocument/2006/relationships/image" Id="rId277" Target="media/rId277.png" /><Relationship Type="http://schemas.openxmlformats.org/officeDocument/2006/relationships/image" Id="rId265" Target="media/rId265.png" /><Relationship Type="http://schemas.openxmlformats.org/officeDocument/2006/relationships/hyperlink" Id="rId199"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42" Target="https://doi.org/10.1002/ece3.5730" TargetMode="External" /><Relationship Type="http://schemas.openxmlformats.org/officeDocument/2006/relationships/hyperlink" Id="rId195"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35" Target="https://doi.org/10.1007/978-3-642-78299-2" TargetMode="External" /><Relationship Type="http://schemas.openxmlformats.org/officeDocument/2006/relationships/hyperlink" Id="rId147" Target="https://doi.org/10.1007/BF00347907" TargetMode="External" /><Relationship Type="http://schemas.openxmlformats.org/officeDocument/2006/relationships/hyperlink" Id="rId233" Target="https://doi.org/10.1007/BF00376997"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5"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44"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22"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07" Target="https://doi.org/10.1046/j.1461-0248.2003.00409.x" TargetMode="External" /><Relationship Type="http://schemas.openxmlformats.org/officeDocument/2006/relationships/hyperlink" Id="rId179"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29"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40"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48"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16" Target="https://doi.org/10.1098/rspb.2020.2500" TargetMode="External" /><Relationship Type="http://schemas.openxmlformats.org/officeDocument/2006/relationships/hyperlink" Id="rId220" Target="https://doi.org/10.1101/2023.06.20.545784" TargetMode="External" /><Relationship Type="http://schemas.openxmlformats.org/officeDocument/2006/relationships/hyperlink" Id="rId189" Target="https://doi.org/10.1111/1365-2435.12302" TargetMode="External" /><Relationship Type="http://schemas.openxmlformats.org/officeDocument/2006/relationships/hyperlink" Id="rId231" Target="https://doi.org/10.1111/1365-2656.13191" TargetMode="External" /><Relationship Type="http://schemas.openxmlformats.org/officeDocument/2006/relationships/hyperlink" Id="rId250"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52" Target="https://doi.org/10.1111/een.12919" TargetMode="External" /><Relationship Type="http://schemas.openxmlformats.org/officeDocument/2006/relationships/hyperlink" Id="rId254"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09"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3" Target="https://doi.org/10.1111/j.1469-185X.2007.00017.x" TargetMode="External" /><Relationship Type="http://schemas.openxmlformats.org/officeDocument/2006/relationships/hyperlink" Id="rId237"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7" Target="https://doi.org/10.1111/j.1744-7917.2010.01376.x" TargetMode="External" /><Relationship Type="http://schemas.openxmlformats.org/officeDocument/2006/relationships/hyperlink" Id="rId175" Target="https://doi.org/10.1111/oik.01370"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05"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1" Target="https://doi.org/10.1146/annurev.es.05.110174.001211" TargetMode="External" /><Relationship Type="http://schemas.openxmlformats.org/officeDocument/2006/relationships/hyperlink" Id="rId181"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18" Target="https://doi.org/10.1242/jeb.240010" TargetMode="External" /><Relationship Type="http://schemas.openxmlformats.org/officeDocument/2006/relationships/hyperlink" Id="rId197" Target="https://doi.org/10.1242/jeb.245296" TargetMode="External" /><Relationship Type="http://schemas.openxmlformats.org/officeDocument/2006/relationships/hyperlink" Id="rId246" Target="https://doi.org/10.1371/journal.pone.0103697" TargetMode="External" /><Relationship Type="http://schemas.openxmlformats.org/officeDocument/2006/relationships/hyperlink" Id="rId214"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27"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25"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1"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2"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3"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87" Target="https://doi.org/10.5194/essd-13-4349-2021"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3"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42" Target="https://doi.org/10.1002/ece3.5730" TargetMode="External" /><Relationship Type="http://schemas.openxmlformats.org/officeDocument/2006/relationships/hyperlink" Id="rId195"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35" Target="https://doi.org/10.1007/978-3-642-78299-2" TargetMode="External" /><Relationship Type="http://schemas.openxmlformats.org/officeDocument/2006/relationships/hyperlink" Id="rId147" Target="https://doi.org/10.1007/BF00347907" TargetMode="External" /><Relationship Type="http://schemas.openxmlformats.org/officeDocument/2006/relationships/hyperlink" Id="rId233" Target="https://doi.org/10.1007/BF00376997"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5"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44"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22"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07" Target="https://doi.org/10.1046/j.1461-0248.2003.00409.x" TargetMode="External" /><Relationship Type="http://schemas.openxmlformats.org/officeDocument/2006/relationships/hyperlink" Id="rId179"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29"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40"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48"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16" Target="https://doi.org/10.1098/rspb.2020.2500" TargetMode="External" /><Relationship Type="http://schemas.openxmlformats.org/officeDocument/2006/relationships/hyperlink" Id="rId220" Target="https://doi.org/10.1101/2023.06.20.545784" TargetMode="External" /><Relationship Type="http://schemas.openxmlformats.org/officeDocument/2006/relationships/hyperlink" Id="rId189" Target="https://doi.org/10.1111/1365-2435.12302" TargetMode="External" /><Relationship Type="http://schemas.openxmlformats.org/officeDocument/2006/relationships/hyperlink" Id="rId231" Target="https://doi.org/10.1111/1365-2656.13191" TargetMode="External" /><Relationship Type="http://schemas.openxmlformats.org/officeDocument/2006/relationships/hyperlink" Id="rId250"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52" Target="https://doi.org/10.1111/een.12919" TargetMode="External" /><Relationship Type="http://schemas.openxmlformats.org/officeDocument/2006/relationships/hyperlink" Id="rId254"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09"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3" Target="https://doi.org/10.1111/j.1469-185X.2007.00017.x" TargetMode="External" /><Relationship Type="http://schemas.openxmlformats.org/officeDocument/2006/relationships/hyperlink" Id="rId237"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7" Target="https://doi.org/10.1111/j.1744-7917.2010.01376.x" TargetMode="External" /><Relationship Type="http://schemas.openxmlformats.org/officeDocument/2006/relationships/hyperlink" Id="rId175" Target="https://doi.org/10.1111/oik.01370"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05"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1" Target="https://doi.org/10.1146/annurev.es.05.110174.001211" TargetMode="External" /><Relationship Type="http://schemas.openxmlformats.org/officeDocument/2006/relationships/hyperlink" Id="rId181"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18" Target="https://doi.org/10.1242/jeb.240010" TargetMode="External" /><Relationship Type="http://schemas.openxmlformats.org/officeDocument/2006/relationships/hyperlink" Id="rId197" Target="https://doi.org/10.1242/jeb.245296" TargetMode="External" /><Relationship Type="http://schemas.openxmlformats.org/officeDocument/2006/relationships/hyperlink" Id="rId246" Target="https://doi.org/10.1371/journal.pone.0103697" TargetMode="External" /><Relationship Type="http://schemas.openxmlformats.org/officeDocument/2006/relationships/hyperlink" Id="rId214"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27"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25"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1"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2"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3"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87" Target="https://doi.org/10.5194/essd-13-4349-2021"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3"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2024-11-24T18:02:09Z</dcterms:created>
  <dcterms:modified xsi:type="dcterms:W3CDTF">2024-11-24T18:02:09Z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2024-11-24</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